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10" w:rsidRDefault="00205E10" w:rsidP="004E61D2">
      <w:pPr>
        <w:jc w:val="center"/>
        <w:rPr>
          <w:b/>
          <w:sz w:val="32"/>
          <w:szCs w:val="32"/>
        </w:rPr>
      </w:pPr>
      <w:r w:rsidRPr="004E61D2">
        <w:rPr>
          <w:b/>
          <w:sz w:val="32"/>
          <w:szCs w:val="32"/>
        </w:rPr>
        <w:t>The Criminal Justice Process</w:t>
      </w:r>
    </w:p>
    <w:p w:rsidR="004E61D2" w:rsidRPr="004E61D2" w:rsidRDefault="004E61D2" w:rsidP="004E61D2">
      <w:pPr>
        <w:jc w:val="center"/>
        <w:rPr>
          <w:b/>
          <w:sz w:val="32"/>
          <w:szCs w:val="32"/>
        </w:rPr>
      </w:pPr>
    </w:p>
    <w:p w:rsidR="00205E10" w:rsidRDefault="00205E10" w:rsidP="00205E10">
      <w:pPr>
        <w:rPr>
          <w:sz w:val="20"/>
          <w:szCs w:val="20"/>
        </w:rPr>
      </w:pPr>
    </w:p>
    <w:p w:rsidR="00205E10" w:rsidRPr="00536C80" w:rsidRDefault="00B04409" w:rsidP="00536C80">
      <w:pPr>
        <w:pStyle w:val="ListParagraph"/>
        <w:numPr>
          <w:ilvl w:val="0"/>
          <w:numId w:val="1"/>
        </w:numPr>
        <w:rPr>
          <w:sz w:val="20"/>
          <w:szCs w:val="20"/>
        </w:rPr>
      </w:pPr>
      <w:hyperlink w:anchor="Crime_occurs" w:history="1">
        <w:r w:rsidR="00205E10" w:rsidRPr="004A7AB5">
          <w:rPr>
            <w:rStyle w:val="Hyperlink"/>
            <w:sz w:val="20"/>
            <w:szCs w:val="20"/>
          </w:rPr>
          <w:t>A crime occurs and is reported.</w:t>
        </w:r>
      </w:hyperlink>
    </w:p>
    <w:p w:rsidR="00205E10" w:rsidRPr="00536C80" w:rsidRDefault="00B04409" w:rsidP="00536C80">
      <w:pPr>
        <w:pStyle w:val="ListParagraph"/>
        <w:numPr>
          <w:ilvl w:val="0"/>
          <w:numId w:val="1"/>
        </w:numPr>
        <w:rPr>
          <w:sz w:val="20"/>
          <w:szCs w:val="20"/>
        </w:rPr>
      </w:pPr>
      <w:hyperlink w:anchor="Investigation" w:history="1">
        <w:r w:rsidR="00205E10" w:rsidRPr="004E61D2">
          <w:rPr>
            <w:rStyle w:val="Hyperlink"/>
            <w:sz w:val="20"/>
            <w:szCs w:val="20"/>
          </w:rPr>
          <w:t>Law enforcement investigate</w:t>
        </w:r>
      </w:hyperlink>
    </w:p>
    <w:p w:rsidR="00205E10" w:rsidRPr="00536C80" w:rsidRDefault="00B04409" w:rsidP="00536C80">
      <w:pPr>
        <w:pStyle w:val="ListParagraph"/>
        <w:numPr>
          <w:ilvl w:val="0"/>
          <w:numId w:val="1"/>
        </w:numPr>
        <w:rPr>
          <w:sz w:val="20"/>
          <w:szCs w:val="20"/>
        </w:rPr>
      </w:pPr>
      <w:hyperlink w:anchor="Review" w:history="1">
        <w:r w:rsidR="00205E10" w:rsidRPr="004E61D2">
          <w:rPr>
            <w:rStyle w:val="Hyperlink"/>
            <w:sz w:val="20"/>
            <w:szCs w:val="20"/>
          </w:rPr>
          <w:t>The County Attorney’s Office reviews the evidence and makes a charging decision</w:t>
        </w:r>
      </w:hyperlink>
    </w:p>
    <w:p w:rsidR="00205E10" w:rsidRPr="00536C80" w:rsidRDefault="00B04409" w:rsidP="00536C80">
      <w:pPr>
        <w:pStyle w:val="ListParagraph"/>
        <w:numPr>
          <w:ilvl w:val="0"/>
          <w:numId w:val="1"/>
        </w:numPr>
        <w:rPr>
          <w:sz w:val="20"/>
          <w:szCs w:val="20"/>
        </w:rPr>
      </w:pPr>
      <w:hyperlink w:anchor="Complaint" w:history="1">
        <w:r w:rsidR="00205E10" w:rsidRPr="004E61D2">
          <w:rPr>
            <w:rStyle w:val="Hyperlink"/>
            <w:sz w:val="20"/>
            <w:szCs w:val="20"/>
          </w:rPr>
          <w:t>A criminal complaint is filed with the court</w:t>
        </w:r>
      </w:hyperlink>
    </w:p>
    <w:p w:rsidR="00205E10" w:rsidRPr="00536C80" w:rsidRDefault="00B04409" w:rsidP="00536C80">
      <w:pPr>
        <w:pStyle w:val="ListParagraph"/>
        <w:numPr>
          <w:ilvl w:val="0"/>
          <w:numId w:val="1"/>
        </w:numPr>
        <w:rPr>
          <w:sz w:val="20"/>
          <w:szCs w:val="20"/>
        </w:rPr>
      </w:pPr>
      <w:hyperlink w:anchor="Court_Appearance" w:history="1">
        <w:r w:rsidR="00205E10" w:rsidRPr="004E61D2">
          <w:rPr>
            <w:rStyle w:val="Hyperlink"/>
            <w:sz w:val="20"/>
            <w:szCs w:val="20"/>
          </w:rPr>
          <w:t>The defendant makes an initial appearance in court</w:t>
        </w:r>
      </w:hyperlink>
      <w:r w:rsidR="00205E10" w:rsidRPr="00536C80">
        <w:rPr>
          <w:sz w:val="20"/>
          <w:szCs w:val="20"/>
        </w:rPr>
        <w:t xml:space="preserve"> </w:t>
      </w:r>
    </w:p>
    <w:p w:rsidR="00205E10" w:rsidRPr="00536C80" w:rsidRDefault="00B04409" w:rsidP="00536C80">
      <w:pPr>
        <w:pStyle w:val="ListParagraph"/>
        <w:numPr>
          <w:ilvl w:val="0"/>
          <w:numId w:val="1"/>
        </w:numPr>
        <w:rPr>
          <w:sz w:val="20"/>
          <w:szCs w:val="20"/>
        </w:rPr>
      </w:pPr>
      <w:hyperlink w:anchor="Pretrial" w:history="1">
        <w:r w:rsidR="00205E10" w:rsidRPr="004E61D2">
          <w:rPr>
            <w:rStyle w:val="Hyperlink"/>
            <w:sz w:val="20"/>
            <w:szCs w:val="20"/>
          </w:rPr>
          <w:t>A pretrial conference is held</w:t>
        </w:r>
      </w:hyperlink>
    </w:p>
    <w:p w:rsidR="00205E10" w:rsidRPr="00536C80" w:rsidRDefault="00B04409" w:rsidP="00536C80">
      <w:pPr>
        <w:pStyle w:val="ListParagraph"/>
        <w:numPr>
          <w:ilvl w:val="0"/>
          <w:numId w:val="1"/>
        </w:numPr>
        <w:rPr>
          <w:sz w:val="20"/>
          <w:szCs w:val="20"/>
        </w:rPr>
      </w:pPr>
      <w:hyperlink w:anchor="Trial" w:history="1">
        <w:r w:rsidR="00205E10" w:rsidRPr="004E61D2">
          <w:rPr>
            <w:rStyle w:val="Hyperlink"/>
            <w:sz w:val="20"/>
            <w:szCs w:val="20"/>
          </w:rPr>
          <w:t>A Trial may be held</w:t>
        </w:r>
      </w:hyperlink>
    </w:p>
    <w:p w:rsidR="00205E10" w:rsidRPr="00536C80" w:rsidRDefault="00B04409" w:rsidP="00536C80">
      <w:pPr>
        <w:pStyle w:val="ListParagraph"/>
        <w:numPr>
          <w:ilvl w:val="0"/>
          <w:numId w:val="1"/>
        </w:numPr>
        <w:rPr>
          <w:sz w:val="20"/>
          <w:szCs w:val="20"/>
        </w:rPr>
      </w:pPr>
      <w:hyperlink w:anchor="Sentencing" w:history="1">
        <w:r w:rsidR="00205E10" w:rsidRPr="004E61D2">
          <w:rPr>
            <w:rStyle w:val="Hyperlink"/>
            <w:sz w:val="20"/>
            <w:szCs w:val="20"/>
          </w:rPr>
          <w:t>The defendant is sentenced</w:t>
        </w:r>
      </w:hyperlink>
    </w:p>
    <w:p w:rsidR="00205E10" w:rsidRDefault="00205E10" w:rsidP="00205E10">
      <w:pPr>
        <w:rPr>
          <w:sz w:val="20"/>
          <w:szCs w:val="20"/>
        </w:rPr>
      </w:pPr>
    </w:p>
    <w:p w:rsidR="00205E10" w:rsidRDefault="00205E10" w:rsidP="00205E10">
      <w:pPr>
        <w:rPr>
          <w:sz w:val="20"/>
          <w:szCs w:val="20"/>
        </w:rPr>
      </w:pPr>
      <w:bookmarkStart w:id="0" w:name="Crime_occurs"/>
      <w:bookmarkEnd w:id="0"/>
      <w:r>
        <w:rPr>
          <w:sz w:val="20"/>
          <w:szCs w:val="20"/>
        </w:rPr>
        <w:t>To report a crime call 911.</w:t>
      </w:r>
    </w:p>
    <w:p w:rsidR="00205E10" w:rsidRDefault="00205E10" w:rsidP="00205E10">
      <w:pPr>
        <w:rPr>
          <w:sz w:val="20"/>
          <w:szCs w:val="20"/>
        </w:rPr>
      </w:pPr>
      <w:r>
        <w:rPr>
          <w:sz w:val="20"/>
          <w:szCs w:val="20"/>
        </w:rPr>
        <w:t xml:space="preserve">To report a non-emergency call </w:t>
      </w:r>
    </w:p>
    <w:p w:rsidR="00205E10" w:rsidRDefault="00205E10" w:rsidP="00205E10">
      <w:pPr>
        <w:rPr>
          <w:sz w:val="20"/>
          <w:szCs w:val="20"/>
        </w:rPr>
      </w:pPr>
    </w:p>
    <w:p w:rsidR="00205E10" w:rsidRDefault="00205E10" w:rsidP="00205E10">
      <w:pPr>
        <w:rPr>
          <w:sz w:val="20"/>
          <w:szCs w:val="20"/>
        </w:rPr>
      </w:pPr>
      <w:bookmarkStart w:id="1" w:name="Investigation"/>
      <w:r>
        <w:rPr>
          <w:sz w:val="20"/>
          <w:szCs w:val="20"/>
        </w:rPr>
        <w:t>Depending on the location of the crime, either the Freeborn County Sheriff’s Department or the Albert Lea Police Department will respond to, and investigate reported incidents.  They will conduct an investigation including all parties involved and submit this completed information to the County Attorney’s Office in an Incident Report.</w:t>
      </w:r>
    </w:p>
    <w:bookmarkEnd w:id="1"/>
    <w:p w:rsidR="00205E10" w:rsidRDefault="00205E10" w:rsidP="00205E10">
      <w:pPr>
        <w:rPr>
          <w:sz w:val="20"/>
          <w:szCs w:val="20"/>
        </w:rPr>
      </w:pPr>
    </w:p>
    <w:p w:rsidR="00205E10" w:rsidRDefault="00205E10" w:rsidP="00205E10">
      <w:pPr>
        <w:rPr>
          <w:sz w:val="20"/>
          <w:szCs w:val="20"/>
        </w:rPr>
      </w:pPr>
      <w:bookmarkStart w:id="2" w:name="Review"/>
      <w:r>
        <w:rPr>
          <w:sz w:val="20"/>
          <w:szCs w:val="20"/>
        </w:rPr>
        <w:t xml:space="preserve">Either the County Attorney or one of the assistant county attorneys will review the incident report and determine if there is sufficient information and evidence to charge a crime.  For more information on this process, please see </w:t>
      </w:r>
      <w:hyperlink r:id="rId6" w:history="1">
        <w:r w:rsidRPr="00B04409">
          <w:rPr>
            <w:rStyle w:val="Hyperlink"/>
            <w:sz w:val="20"/>
            <w:szCs w:val="20"/>
          </w:rPr>
          <w:t>Freeborn County Attorney’s Office Charging Guidelines</w:t>
        </w:r>
      </w:hyperlink>
      <w:r>
        <w:rPr>
          <w:sz w:val="20"/>
          <w:szCs w:val="20"/>
        </w:rPr>
        <w:t>.</w:t>
      </w:r>
    </w:p>
    <w:bookmarkEnd w:id="2"/>
    <w:p w:rsidR="00205E10" w:rsidRDefault="00205E10" w:rsidP="00205E10">
      <w:pPr>
        <w:rPr>
          <w:sz w:val="20"/>
          <w:szCs w:val="20"/>
        </w:rPr>
      </w:pPr>
    </w:p>
    <w:p w:rsidR="00205E10" w:rsidRDefault="00205E10" w:rsidP="00205E10">
      <w:pPr>
        <w:rPr>
          <w:sz w:val="20"/>
          <w:szCs w:val="20"/>
        </w:rPr>
      </w:pPr>
      <w:r>
        <w:rPr>
          <w:sz w:val="20"/>
          <w:szCs w:val="20"/>
        </w:rPr>
        <w:t>If prosecution is deemed appropriate, a criminal complaint is drafted and filed with the court.  There are three types of criminal complaints: an Order of Detention, used when the defendant is in custody; a Warrant, used when the defendant is to be found and arrested and held until a court appearance; and a Summons, directing the defendant to appear in court on a specified day and time.</w:t>
      </w:r>
      <w:r w:rsidR="004E61D2">
        <w:rPr>
          <w:sz w:val="20"/>
          <w:szCs w:val="20"/>
        </w:rPr>
        <w:t xml:space="preserve">  If there is not sufficient information and evidence to charge a crime, the attorney will decline charges and/or refer the incident report back to law enforcement for more investigation.</w:t>
      </w:r>
    </w:p>
    <w:p w:rsidR="00205E10" w:rsidRDefault="00205E10" w:rsidP="00205E10">
      <w:pPr>
        <w:rPr>
          <w:sz w:val="20"/>
          <w:szCs w:val="20"/>
        </w:rPr>
      </w:pPr>
    </w:p>
    <w:p w:rsidR="00205E10" w:rsidRDefault="00205E10" w:rsidP="00205E10">
      <w:pPr>
        <w:rPr>
          <w:sz w:val="20"/>
          <w:szCs w:val="20"/>
        </w:rPr>
      </w:pPr>
      <w:bookmarkStart w:id="3" w:name="Complaint"/>
      <w:bookmarkStart w:id="4" w:name="Court_Appearance"/>
      <w:r>
        <w:rPr>
          <w:sz w:val="20"/>
          <w:szCs w:val="20"/>
        </w:rPr>
        <w:t>The defendant makes an initial appearance in court.  This can be called an arraignment, initial appearance, or a Rule 5 hearing.  At this hearing the defendant is informed of the charges against him or her, as well as his or her rights.  The judge sets bail and conditions of release.</w:t>
      </w:r>
    </w:p>
    <w:bookmarkEnd w:id="3"/>
    <w:bookmarkEnd w:id="4"/>
    <w:p w:rsidR="00205E10" w:rsidRDefault="00205E10" w:rsidP="00205E10">
      <w:pPr>
        <w:rPr>
          <w:sz w:val="20"/>
          <w:szCs w:val="20"/>
        </w:rPr>
      </w:pPr>
    </w:p>
    <w:p w:rsidR="00205E10" w:rsidRDefault="00205E10" w:rsidP="00205E10">
      <w:pPr>
        <w:rPr>
          <w:sz w:val="20"/>
          <w:szCs w:val="20"/>
        </w:rPr>
      </w:pPr>
      <w:bookmarkStart w:id="5" w:name="Pretrial"/>
      <w:r>
        <w:rPr>
          <w:sz w:val="20"/>
          <w:szCs w:val="20"/>
        </w:rPr>
        <w:t xml:space="preserve">A pretrial conference, or plea negotiations, is an attempt to conclude a criminal case by appropriate disposition without the necessity of a trial.  For more information on plea negotiations, please see </w:t>
      </w:r>
      <w:hyperlink r:id="rId7" w:history="1">
        <w:r w:rsidRPr="00B04409">
          <w:rPr>
            <w:rStyle w:val="Hyperlink"/>
            <w:sz w:val="20"/>
            <w:szCs w:val="20"/>
          </w:rPr>
          <w:t>Freeborn County Attorney’s Plea Negotiation Guidelines</w:t>
        </w:r>
      </w:hyperlink>
      <w:bookmarkStart w:id="6" w:name="_GoBack"/>
      <w:bookmarkEnd w:id="6"/>
      <w:r>
        <w:rPr>
          <w:sz w:val="20"/>
          <w:szCs w:val="20"/>
        </w:rPr>
        <w:t>.</w:t>
      </w:r>
    </w:p>
    <w:bookmarkEnd w:id="5"/>
    <w:p w:rsidR="00205E10" w:rsidRDefault="00205E10" w:rsidP="00205E10">
      <w:pPr>
        <w:rPr>
          <w:sz w:val="20"/>
          <w:szCs w:val="20"/>
        </w:rPr>
      </w:pPr>
    </w:p>
    <w:p w:rsidR="00205E10" w:rsidRDefault="00205E10" w:rsidP="00205E10">
      <w:pPr>
        <w:rPr>
          <w:sz w:val="20"/>
          <w:szCs w:val="20"/>
        </w:rPr>
      </w:pPr>
      <w:bookmarkStart w:id="7" w:name="Trial"/>
      <w:r>
        <w:rPr>
          <w:sz w:val="20"/>
          <w:szCs w:val="20"/>
        </w:rPr>
        <w:t>A trial is held.  A Defendant has the option of having the case heard by a jury of his or her peers, or the judge only.  The County Attorney’s Office (prosecution) has the burden of proving each case beyond a reasonable doubt.  This may involve testimony of witnesses and exhibits.</w:t>
      </w:r>
    </w:p>
    <w:bookmarkEnd w:id="7"/>
    <w:p w:rsidR="00205E10" w:rsidRDefault="00205E10" w:rsidP="00205E10">
      <w:pPr>
        <w:rPr>
          <w:sz w:val="20"/>
          <w:szCs w:val="20"/>
        </w:rPr>
      </w:pPr>
    </w:p>
    <w:p w:rsidR="00205E10" w:rsidRPr="00403999" w:rsidRDefault="00205E10" w:rsidP="00205E10">
      <w:pPr>
        <w:rPr>
          <w:sz w:val="20"/>
          <w:szCs w:val="20"/>
        </w:rPr>
      </w:pPr>
      <w:bookmarkStart w:id="8" w:name="Sentencing"/>
      <w:r>
        <w:rPr>
          <w:sz w:val="20"/>
          <w:szCs w:val="20"/>
        </w:rPr>
        <w:t>Following either a guilty plea finding of guilt by a jury or judge, the Defendant is sentenced.  Sentences are limited to those afforded by the Minnesota Sentencing Guidelines, determined by citizens through their elected officials.</w:t>
      </w:r>
    </w:p>
    <w:bookmarkEnd w:id="8"/>
    <w:p w:rsidR="00536C80" w:rsidRDefault="00536C80"/>
    <w:sectPr w:rsidR="00536C80" w:rsidSect="004E6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9B7"/>
    <w:multiLevelType w:val="hybridMultilevel"/>
    <w:tmpl w:val="D46C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E10"/>
    <w:rsid w:val="001A6885"/>
    <w:rsid w:val="00205E10"/>
    <w:rsid w:val="004A7AB5"/>
    <w:rsid w:val="004E61D2"/>
    <w:rsid w:val="00536C80"/>
    <w:rsid w:val="00712EBB"/>
    <w:rsid w:val="00B0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E10"/>
    <w:pPr>
      <w:spacing w:after="0" w:line="240" w:lineRule="auto"/>
    </w:pPr>
    <w:rPr>
      <w:rFonts w:ascii="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C80"/>
    <w:pPr>
      <w:ind w:left="720"/>
      <w:contextualSpacing/>
    </w:pPr>
  </w:style>
  <w:style w:type="character" w:styleId="Hyperlink">
    <w:name w:val="Hyperlink"/>
    <w:basedOn w:val="DefaultParagraphFont"/>
    <w:uiPriority w:val="99"/>
    <w:unhideWhenUsed/>
    <w:rsid w:val="00536C80"/>
    <w:rPr>
      <w:color w:val="0000FF" w:themeColor="hyperlink"/>
      <w:u w:val="single"/>
    </w:rPr>
  </w:style>
  <w:style w:type="character" w:styleId="FollowedHyperlink">
    <w:name w:val="FollowedHyperlink"/>
    <w:basedOn w:val="DefaultParagraphFont"/>
    <w:uiPriority w:val="99"/>
    <w:semiHidden/>
    <w:unhideWhenUsed/>
    <w:rsid w:val="004E61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E10"/>
    <w:pPr>
      <w:spacing w:after="0" w:line="240" w:lineRule="auto"/>
    </w:pPr>
    <w:rPr>
      <w:rFonts w:ascii="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C80"/>
    <w:pPr>
      <w:ind w:left="720"/>
      <w:contextualSpacing/>
    </w:pPr>
  </w:style>
  <w:style w:type="character" w:styleId="Hyperlink">
    <w:name w:val="Hyperlink"/>
    <w:basedOn w:val="DefaultParagraphFont"/>
    <w:uiPriority w:val="99"/>
    <w:unhideWhenUsed/>
    <w:rsid w:val="00536C80"/>
    <w:rPr>
      <w:color w:val="0000FF" w:themeColor="hyperlink"/>
      <w:u w:val="single"/>
    </w:rPr>
  </w:style>
  <w:style w:type="character" w:styleId="FollowedHyperlink">
    <w:name w:val="FollowedHyperlink"/>
    <w:basedOn w:val="DefaultParagraphFont"/>
    <w:uiPriority w:val="99"/>
    <w:semiHidden/>
    <w:unhideWhenUsed/>
    <w:rsid w:val="004E61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Plea%20Negotiations%20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arging%20Guideline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Freeborn County</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Reindal</dc:creator>
  <cp:lastModifiedBy>Sara Reindal</cp:lastModifiedBy>
  <cp:revision>4</cp:revision>
  <dcterms:created xsi:type="dcterms:W3CDTF">2013-10-16T19:49:00Z</dcterms:created>
  <dcterms:modified xsi:type="dcterms:W3CDTF">2013-10-16T20:36:00Z</dcterms:modified>
</cp:coreProperties>
</file>